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1E" w:rsidRDefault="00EA2B1E" w:rsidP="00027F4A">
      <w:pPr>
        <w:pStyle w:val="ToRWGTitle"/>
        <w:spacing w:line="276" w:lineRule="auto"/>
        <w:jc w:val="center"/>
        <w:rPr>
          <w:rFonts w:ascii="Qanelas" w:hAnsi="Qanelas"/>
          <w:b/>
          <w:sz w:val="48"/>
          <w:szCs w:val="52"/>
        </w:rPr>
      </w:pPr>
      <w:r w:rsidRPr="00CD1F76">
        <w:rPr>
          <w:rFonts w:ascii="Qanelas" w:hAnsi="Qanelas"/>
          <w:b/>
          <w:sz w:val="48"/>
          <w:szCs w:val="52"/>
        </w:rPr>
        <w:t>TERMS OF REFERENCE</w:t>
      </w:r>
    </w:p>
    <w:p w:rsidR="004B3C7A" w:rsidRDefault="004B3C7A" w:rsidP="004B3C7A">
      <w:pPr>
        <w:pStyle w:val="ToRWGTitle"/>
        <w:spacing w:line="276" w:lineRule="auto"/>
        <w:jc w:val="center"/>
        <w:rPr>
          <w:rFonts w:ascii="Qanelas" w:hAnsi="Qanelas"/>
          <w:b/>
          <w:sz w:val="44"/>
          <w:szCs w:val="48"/>
        </w:rPr>
      </w:pPr>
      <w:r>
        <w:rPr>
          <w:rFonts w:ascii="Qanelas" w:hAnsi="Qanelas"/>
          <w:b/>
          <w:sz w:val="44"/>
          <w:szCs w:val="48"/>
        </w:rPr>
        <w:t>Customers and Retail Services Committee</w:t>
      </w:r>
    </w:p>
    <w:p w:rsidR="00EA2B1E" w:rsidRDefault="00EA2B1E" w:rsidP="00027F4A">
      <w:pPr>
        <w:pStyle w:val="ToRWGTitle"/>
        <w:spacing w:line="276" w:lineRule="auto"/>
        <w:jc w:val="center"/>
        <w:rPr>
          <w:rFonts w:ascii="Qanelas" w:hAnsi="Qanelas"/>
          <w:b/>
          <w:sz w:val="44"/>
          <w:szCs w:val="48"/>
        </w:rPr>
      </w:pPr>
      <w:r w:rsidRPr="00EA2B1E">
        <w:rPr>
          <w:rFonts w:ascii="Qanelas" w:hAnsi="Qanelas"/>
          <w:b/>
          <w:sz w:val="44"/>
          <w:szCs w:val="48"/>
        </w:rPr>
        <w:t>WG Retail Market Design</w:t>
      </w:r>
    </w:p>
    <w:tbl>
      <w:tblPr>
        <w:tblpPr w:leftFromText="180" w:rightFromText="180" w:vertAnchor="text" w:horzAnchor="margin" w:tblpY="386"/>
        <w:tblW w:w="0" w:type="auto"/>
        <w:tblLook w:val="01E0" w:firstRow="1" w:lastRow="1" w:firstColumn="1" w:lastColumn="1" w:noHBand="0" w:noVBand="0"/>
      </w:tblPr>
      <w:tblGrid>
        <w:gridCol w:w="5637"/>
        <w:gridCol w:w="4502"/>
      </w:tblGrid>
      <w:tr w:rsidR="00917B35" w:rsidRPr="001B2791" w:rsidTr="004914CC">
        <w:tc>
          <w:tcPr>
            <w:tcW w:w="5637" w:type="dxa"/>
            <w:shd w:val="clear" w:color="auto" w:fill="auto"/>
          </w:tcPr>
          <w:p w:rsidR="00941236" w:rsidRPr="001B2791" w:rsidRDefault="00917B35" w:rsidP="00941236">
            <w:pPr>
              <w:pStyle w:val="ToRChairman"/>
              <w:spacing w:line="276" w:lineRule="auto"/>
              <w:rPr>
                <w:rFonts w:ascii="Qanelas" w:hAnsi="Qanelas"/>
                <w:b/>
              </w:rPr>
            </w:pPr>
            <w:r w:rsidRPr="001B2791">
              <w:rPr>
                <w:rFonts w:ascii="Qanelas" w:hAnsi="Qanelas"/>
                <w:b/>
              </w:rPr>
              <w:t xml:space="preserve">CHAIR: </w:t>
            </w:r>
            <w:r w:rsidRPr="001B2791">
              <w:rPr>
                <w:rFonts w:ascii="Qanelas" w:hAnsi="Qanelas"/>
                <w:b/>
              </w:rPr>
              <w:tab/>
            </w:r>
            <w:r>
              <w:rPr>
                <w:rFonts w:ascii="Qanelas" w:eastAsia="Calibri" w:hAnsi="Qanelas" w:cs="Calibri"/>
                <w:b/>
                <w:spacing w:val="-1"/>
                <w:szCs w:val="22"/>
              </w:rPr>
              <w:t>Alain TACCOEN</w:t>
            </w:r>
            <w:r w:rsidRPr="001B2791">
              <w:rPr>
                <w:rFonts w:ascii="Qanelas" w:eastAsia="Calibri" w:hAnsi="Qanelas" w:cs="Calibri"/>
                <w:b/>
                <w:spacing w:val="-1"/>
                <w:szCs w:val="22"/>
              </w:rPr>
              <w:t xml:space="preserve"> (</w:t>
            </w:r>
            <w:r>
              <w:rPr>
                <w:rFonts w:ascii="Qanelas" w:eastAsia="Calibri" w:hAnsi="Qanelas" w:cs="Calibri"/>
                <w:b/>
                <w:spacing w:val="-1"/>
                <w:szCs w:val="22"/>
              </w:rPr>
              <w:t>FR</w:t>
            </w:r>
            <w:r w:rsidRPr="001B2791">
              <w:rPr>
                <w:rFonts w:ascii="Qanelas" w:eastAsia="Calibri" w:hAnsi="Qanelas" w:cs="Calibri"/>
                <w:b/>
                <w:spacing w:val="-1"/>
                <w:szCs w:val="22"/>
              </w:rPr>
              <w:t>)</w:t>
            </w:r>
            <w:r w:rsidR="00FB6FB4">
              <w:rPr>
                <w:rFonts w:ascii="Qanelas" w:eastAsia="Calibri" w:hAnsi="Qanelas" w:cs="Calibri"/>
                <w:b/>
                <w:spacing w:val="-1"/>
                <w:szCs w:val="22"/>
              </w:rPr>
              <w:t xml:space="preserve">, </w:t>
            </w:r>
          </w:p>
          <w:p w:rsidR="00917B35" w:rsidRPr="001B2791" w:rsidRDefault="00917B35" w:rsidP="00027F4A">
            <w:pPr>
              <w:pStyle w:val="ToRChairman"/>
              <w:spacing w:line="276" w:lineRule="auto"/>
              <w:rPr>
                <w:rFonts w:ascii="Qanelas" w:hAnsi="Qanelas"/>
                <w:b/>
              </w:rPr>
            </w:pPr>
          </w:p>
        </w:tc>
        <w:tc>
          <w:tcPr>
            <w:tcW w:w="4502" w:type="dxa"/>
            <w:shd w:val="clear" w:color="auto" w:fill="auto"/>
          </w:tcPr>
          <w:p w:rsidR="00917B35" w:rsidRPr="001B2791" w:rsidRDefault="00917B35" w:rsidP="00027F4A">
            <w:pPr>
              <w:spacing w:line="276" w:lineRule="auto"/>
              <w:rPr>
                <w:rFonts w:ascii="Qanelas" w:hAnsi="Qanelas"/>
                <w:b/>
              </w:rPr>
            </w:pPr>
            <w:r w:rsidRPr="001B2791">
              <w:rPr>
                <w:rFonts w:ascii="Qanelas" w:hAnsi="Qanelas"/>
                <w:b/>
              </w:rPr>
              <w:t xml:space="preserve">SECRETARIAT: </w:t>
            </w:r>
            <w:r w:rsidRPr="001B2791">
              <w:rPr>
                <w:rFonts w:ascii="Qanelas" w:hAnsi="Qanelas"/>
                <w:b/>
              </w:rPr>
              <w:tab/>
            </w:r>
            <w:r>
              <w:rPr>
                <w:rFonts w:ascii="Qanelas" w:hAnsi="Qanelas"/>
                <w:b/>
              </w:rPr>
              <w:t>Anna ASLANIDZE</w:t>
            </w:r>
          </w:p>
        </w:tc>
      </w:tr>
    </w:tbl>
    <w:p w:rsidR="00917B35" w:rsidRDefault="00917B35" w:rsidP="00027F4A">
      <w:pPr>
        <w:spacing w:line="276" w:lineRule="auto"/>
        <w:jc w:val="left"/>
        <w:rPr>
          <w:rFonts w:ascii="Qanelas" w:hAnsi="Qanelas"/>
          <w:b/>
          <w:sz w:val="44"/>
          <w:szCs w:val="48"/>
        </w:rPr>
      </w:pPr>
    </w:p>
    <w:p w:rsidR="00917B35" w:rsidRPr="002E2B6D" w:rsidRDefault="00917B35" w:rsidP="00027F4A">
      <w:pPr>
        <w:tabs>
          <w:tab w:val="left" w:pos="6600"/>
        </w:tabs>
        <w:spacing w:line="276" w:lineRule="auto"/>
        <w:rPr>
          <w:rFonts w:ascii="Calibri" w:hAnsi="Calibri"/>
          <w:b/>
          <w:color w:val="2C63FE"/>
          <w:sz w:val="24"/>
          <w:szCs w:val="52"/>
        </w:rPr>
      </w:pPr>
      <w:r w:rsidRPr="002E2B6D">
        <w:rPr>
          <w:rFonts w:ascii="Calibri" w:hAnsi="Calibri"/>
          <w:b/>
          <w:color w:val="2C63FE"/>
          <w:sz w:val="24"/>
          <w:szCs w:val="52"/>
        </w:rPr>
        <w:t>Group Rationale</w:t>
      </w:r>
    </w:p>
    <w:p w:rsidR="000C5607" w:rsidRPr="000C5607" w:rsidRDefault="000C5607" w:rsidP="004003BF">
      <w:pPr>
        <w:spacing w:after="200" w:line="276" w:lineRule="auto"/>
        <w:jc w:val="left"/>
        <w:outlineLvl w:val="0"/>
        <w:rPr>
          <w:rFonts w:asciiTheme="minorHAnsi" w:eastAsiaTheme="minorHAnsi" w:hAnsiTheme="minorHAnsi" w:cstheme="minorBidi"/>
          <w:color w:val="595959" w:themeColor="text1" w:themeTint="A6"/>
          <w:sz w:val="4"/>
          <w:szCs w:val="4"/>
          <w:lang w:eastAsia="en-US"/>
        </w:rPr>
      </w:pPr>
    </w:p>
    <w:p w:rsidR="004003BF" w:rsidRPr="00F55CB9" w:rsidRDefault="004003BF" w:rsidP="00FB6FB4">
      <w:pPr>
        <w:spacing w:after="200" w:line="276" w:lineRule="auto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Well-functioning electricity retail markets are indispensable to Europe’s energy future. Next to giving custo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m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ers the chance to become more active and involved, they will help to deliver low-carbon, reliable electricity at competitive prices.</w:t>
      </w:r>
    </w:p>
    <w:p w:rsidR="009E6436" w:rsidRPr="00F55CB9" w:rsidRDefault="004003BF" w:rsidP="00FB6FB4">
      <w:pPr>
        <w:spacing w:after="200" w:line="276" w:lineRule="auto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Well-functioning</w:t>
      </w:r>
      <w:r w:rsidR="009E6436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 retail markets need clear roles and responsibilities 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for</w:t>
      </w:r>
      <w:r w:rsidR="009E6436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 all market actors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, low market entry barriers</w:t>
      </w:r>
      <w:r w:rsidR="001044B9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 and a level playing field for all</w:t>
      </w:r>
      <w:r w:rsidR="008413A2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 players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r w:rsidR="009E6436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a clear distinction between competitive and regulated 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activ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i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ties, </w:t>
      </w:r>
      <w:r w:rsidR="001044B9" w:rsidRPr="00F55CB9">
        <w:rPr>
          <w:rFonts w:asciiTheme="minorHAnsi" w:eastAsiaTheme="minorHAnsi" w:hAnsiTheme="minorHAnsi" w:cstheme="minorBidi"/>
          <w:szCs w:val="22"/>
          <w:lang w:eastAsia="en-US"/>
        </w:rPr>
        <w:t>smooth information exchange between system operators and market p</w:t>
      </w:r>
      <w:r w:rsidR="008413A2" w:rsidRPr="00F55CB9">
        <w:rPr>
          <w:rFonts w:asciiTheme="minorHAnsi" w:eastAsiaTheme="minorHAnsi" w:hAnsiTheme="minorHAnsi" w:cstheme="minorBidi"/>
          <w:szCs w:val="22"/>
          <w:lang w:eastAsia="en-US"/>
        </w:rPr>
        <w:t>arties</w:t>
      </w:r>
      <w:r w:rsidR="001044B9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and efficient price signals </w:t>
      </w:r>
      <w:r w:rsidR="00455795"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and price structures 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for customers</w:t>
      </w:r>
      <w:r w:rsidR="009E6436" w:rsidRPr="00F55CB9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346BF9" w:rsidRPr="00F55CB9" w:rsidRDefault="00346BF9" w:rsidP="00346BF9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This WG will </w:t>
      </w:r>
      <w:r w:rsidR="008413A2" w:rsidRPr="00F55CB9">
        <w:rPr>
          <w:rFonts w:asciiTheme="minorHAnsi" w:eastAsiaTheme="minorHAnsi" w:hAnsiTheme="minorHAnsi" w:cstheme="minorBidi"/>
          <w:szCs w:val="22"/>
          <w:lang w:eastAsia="en-US"/>
        </w:rPr>
        <w:t>chiefly deal with the core market design issues listed below</w:t>
      </w:r>
      <w:r w:rsidR="00455795" w:rsidRPr="00F55CB9">
        <w:rPr>
          <w:rFonts w:asciiTheme="minorHAnsi" w:eastAsiaTheme="minorHAnsi" w:hAnsiTheme="minorHAnsi" w:cstheme="minorBidi"/>
          <w:szCs w:val="22"/>
          <w:lang w:eastAsia="en-US"/>
        </w:rPr>
        <w:t>:</w:t>
      </w:r>
    </w:p>
    <w:p w:rsidR="00346BF9" w:rsidRPr="00F55CB9" w:rsidRDefault="00346BF9" w:rsidP="00346BF9">
      <w:pPr>
        <w:numPr>
          <w:ilvl w:val="0"/>
          <w:numId w:val="2"/>
        </w:num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Addressing the power sector’s changing retail prices and network and taxes/levies in the electricity price (+related business intelligence) </w:t>
      </w:r>
    </w:p>
    <w:p w:rsidR="00EC0E4D" w:rsidRPr="00F55CB9" w:rsidRDefault="00EC0E4D" w:rsidP="00EC0E4D">
      <w:pPr>
        <w:numPr>
          <w:ilvl w:val="0"/>
          <w:numId w:val="2"/>
        </w:num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Link between retail and wholesale markets and investments</w:t>
      </w:r>
    </w:p>
    <w:p w:rsidR="00346BF9" w:rsidRPr="00F55CB9" w:rsidRDefault="00346BF9" w:rsidP="00346BF9">
      <w:pPr>
        <w:numPr>
          <w:ilvl w:val="0"/>
          <w:numId w:val="2"/>
        </w:num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Market rules, new actors and entry barriers (prosumers, aggregators, ESCOs, Local Energy Commun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i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ties and wholesale/retail interplay) </w:t>
      </w:r>
    </w:p>
    <w:p w:rsidR="00346BF9" w:rsidRPr="00F55CB9" w:rsidRDefault="00346BF9" w:rsidP="00346BF9">
      <w:pPr>
        <w:numPr>
          <w:ilvl w:val="0"/>
          <w:numId w:val="2"/>
        </w:num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Interactions with network operators (TSO and DSOs)</w:t>
      </w:r>
    </w:p>
    <w:p w:rsidR="00346BF9" w:rsidRPr="00F55CB9" w:rsidRDefault="00EC0E4D" w:rsidP="00EC0E4D">
      <w:pPr>
        <w:numPr>
          <w:ilvl w:val="0"/>
          <w:numId w:val="2"/>
        </w:num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Flexibility, including operational activation of customer flexibility</w:t>
      </w:r>
    </w:p>
    <w:p w:rsidR="00917B35" w:rsidRPr="00F55CB9" w:rsidRDefault="00917B35" w:rsidP="00027F4A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9779CC" w:rsidRPr="00F55CB9" w:rsidRDefault="009779CC" w:rsidP="009779CC">
      <w:pPr>
        <w:outlineLvl w:val="0"/>
        <w:rPr>
          <w:rFonts w:asciiTheme="minorHAnsi" w:hAnsiTheme="minorHAnsi"/>
        </w:rPr>
      </w:pPr>
      <w:r w:rsidRPr="00F55CB9">
        <w:rPr>
          <w:rFonts w:asciiTheme="minorHAnsi" w:hAnsiTheme="minorHAnsi"/>
        </w:rPr>
        <w:t>The WG reports to the Customers &amp; Retail Services Committee</w:t>
      </w:r>
      <w:r w:rsidR="00FB6FB4" w:rsidRPr="00F55CB9">
        <w:rPr>
          <w:rFonts w:asciiTheme="minorHAnsi" w:hAnsiTheme="minorHAnsi"/>
        </w:rPr>
        <w:t>.</w:t>
      </w:r>
    </w:p>
    <w:p w:rsidR="009779CC" w:rsidRPr="00F55CB9" w:rsidRDefault="009779CC" w:rsidP="00027F4A">
      <w:pPr>
        <w:spacing w:line="276" w:lineRule="auto"/>
        <w:jc w:val="left"/>
        <w:rPr>
          <w:rFonts w:asciiTheme="minorHAnsi" w:eastAsiaTheme="minorHAnsi" w:hAnsiTheme="minorHAnsi" w:cstheme="minorBidi"/>
          <w:szCs w:val="22"/>
          <w:lang w:eastAsia="en-US"/>
        </w:rPr>
      </w:pPr>
    </w:p>
    <w:p w:rsidR="0097172A" w:rsidRPr="00E1212B" w:rsidRDefault="0097172A" w:rsidP="0097172A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WG </w:t>
      </w:r>
      <w:r w:rsidRPr="00E1212B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Members:</w:t>
      </w:r>
    </w:p>
    <w:p w:rsidR="0097172A" w:rsidRPr="00F55CB9" w:rsidRDefault="0097172A" w:rsidP="0097172A">
      <w:pPr>
        <w:outlineLvl w:val="0"/>
        <w:rPr>
          <w:rFonts w:asciiTheme="minorHAnsi" w:hAnsiTheme="minorHAnsi"/>
        </w:rPr>
      </w:pPr>
      <w:r w:rsidRPr="00F55CB9">
        <w:rPr>
          <w:rFonts w:asciiTheme="minorHAnsi" w:hAnsiTheme="minorHAnsi"/>
        </w:rPr>
        <w:t xml:space="preserve">The WG is composed of experts from </w:t>
      </w:r>
      <w:r w:rsidR="00DA6226" w:rsidRPr="00F55CB9">
        <w:rPr>
          <w:rFonts w:asciiTheme="minorHAnsi" w:hAnsiTheme="minorHAnsi"/>
        </w:rPr>
        <w:t xml:space="preserve">national associations or </w:t>
      </w:r>
      <w:r w:rsidRPr="00F55CB9">
        <w:rPr>
          <w:rFonts w:asciiTheme="minorHAnsi" w:hAnsiTheme="minorHAnsi"/>
        </w:rPr>
        <w:t xml:space="preserve">companies active in the field of </w:t>
      </w:r>
      <w:r w:rsidR="00DA6226" w:rsidRPr="00F55CB9">
        <w:rPr>
          <w:rFonts w:asciiTheme="minorHAnsi" w:hAnsiTheme="minorHAnsi"/>
        </w:rPr>
        <w:t>market design and regulation</w:t>
      </w:r>
      <w:r w:rsidR="00FB6FB4" w:rsidRPr="00F55CB9">
        <w:rPr>
          <w:rFonts w:asciiTheme="minorHAnsi" w:hAnsiTheme="minorHAnsi"/>
        </w:rPr>
        <w:t>.</w:t>
      </w:r>
    </w:p>
    <w:p w:rsidR="0097172A" w:rsidRDefault="0097172A" w:rsidP="0097172A">
      <w:pPr>
        <w:outlineLvl w:val="0"/>
        <w:rPr>
          <w:rFonts w:asciiTheme="minorHAnsi" w:hAnsiTheme="minorHAnsi"/>
          <w:color w:val="595959" w:themeColor="text1" w:themeTint="A6"/>
        </w:rPr>
      </w:pPr>
    </w:p>
    <w:p w:rsidR="0097172A" w:rsidRDefault="004B3C7A" w:rsidP="0097172A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Transversal </w:t>
      </w:r>
      <w:proofErr w:type="spellStart"/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Eurelectric</w:t>
      </w:r>
      <w:proofErr w:type="spellEnd"/>
      <w:r w:rsidR="0097172A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 Cooperation:</w:t>
      </w:r>
    </w:p>
    <w:p w:rsidR="0097172A" w:rsidRPr="00F55CB9" w:rsidRDefault="0097172A" w:rsidP="0097172A">
      <w:pPr>
        <w:outlineLvl w:val="0"/>
        <w:rPr>
          <w:rFonts w:ascii="Calibri" w:hAnsi="Calibri"/>
        </w:rPr>
      </w:pPr>
      <w:r w:rsidRPr="00F55CB9">
        <w:rPr>
          <w:rFonts w:ascii="Calibri" w:hAnsi="Calibri"/>
        </w:rPr>
        <w:t xml:space="preserve">The WG closely cooperates with: </w:t>
      </w:r>
    </w:p>
    <w:p w:rsidR="0097172A" w:rsidRPr="00F55CB9" w:rsidRDefault="0097172A" w:rsidP="0097172A">
      <w:pPr>
        <w:pStyle w:val="ListParagraph"/>
        <w:numPr>
          <w:ilvl w:val="0"/>
          <w:numId w:val="8"/>
        </w:numPr>
        <w:outlineLvl w:val="0"/>
        <w:rPr>
          <w:rFonts w:eastAsia="Times New Roman" w:cs="Times New Roman"/>
          <w:szCs w:val="20"/>
          <w:lang w:eastAsia="en-GB"/>
        </w:rPr>
      </w:pPr>
      <w:r w:rsidRPr="00F55CB9">
        <w:rPr>
          <w:rFonts w:eastAsia="Times New Roman" w:cs="Times New Roman"/>
          <w:szCs w:val="20"/>
          <w:lang w:eastAsia="en-GB"/>
        </w:rPr>
        <w:t xml:space="preserve">The Markets and Investments Committee on investment signals for customers </w:t>
      </w:r>
    </w:p>
    <w:p w:rsidR="0097172A" w:rsidRPr="00F55CB9" w:rsidRDefault="0097172A" w:rsidP="0097172A">
      <w:pPr>
        <w:pStyle w:val="ListParagraph"/>
        <w:numPr>
          <w:ilvl w:val="0"/>
          <w:numId w:val="8"/>
        </w:numPr>
        <w:outlineLvl w:val="0"/>
        <w:rPr>
          <w:rFonts w:eastAsia="Times New Roman" w:cs="Times New Roman"/>
          <w:szCs w:val="20"/>
          <w:lang w:eastAsia="en-GB"/>
        </w:rPr>
      </w:pPr>
      <w:r w:rsidRPr="00F55CB9">
        <w:rPr>
          <w:rFonts w:eastAsia="Times New Roman" w:cs="Times New Roman"/>
          <w:szCs w:val="20"/>
          <w:lang w:eastAsia="en-GB"/>
        </w:rPr>
        <w:t xml:space="preserve">The Electrification and Sustainability Committee on price structure and electrification of other sectors. </w:t>
      </w:r>
    </w:p>
    <w:p w:rsidR="0097172A" w:rsidRPr="00F55CB9" w:rsidRDefault="0097172A" w:rsidP="0097172A">
      <w:pPr>
        <w:pStyle w:val="ListParagraph"/>
        <w:numPr>
          <w:ilvl w:val="0"/>
          <w:numId w:val="8"/>
        </w:numPr>
        <w:outlineLvl w:val="0"/>
        <w:rPr>
          <w:rFonts w:eastAsia="Times New Roman" w:cs="Times New Roman"/>
          <w:szCs w:val="20"/>
          <w:lang w:eastAsia="en-GB"/>
        </w:rPr>
      </w:pPr>
      <w:r w:rsidRPr="00F55CB9">
        <w:rPr>
          <w:rFonts w:eastAsia="Times New Roman" w:cs="Times New Roman"/>
          <w:szCs w:val="20"/>
          <w:lang w:eastAsia="en-GB"/>
        </w:rPr>
        <w:t xml:space="preserve">The Distribution and Markets facilitation Committee on access to </w:t>
      </w:r>
      <w:r w:rsidR="00556FB7" w:rsidRPr="00F55CB9">
        <w:rPr>
          <w:rFonts w:eastAsia="Times New Roman" w:cs="Times New Roman"/>
          <w:szCs w:val="20"/>
          <w:lang w:eastAsia="en-GB"/>
        </w:rPr>
        <w:t xml:space="preserve">data exchange, </w:t>
      </w:r>
      <w:r w:rsidRPr="00F55CB9">
        <w:rPr>
          <w:rFonts w:eastAsia="Times New Roman" w:cs="Times New Roman"/>
          <w:szCs w:val="20"/>
          <w:lang w:eastAsia="en-GB"/>
        </w:rPr>
        <w:t>local flexibility r</w:t>
      </w:r>
      <w:r w:rsidRPr="00F55CB9">
        <w:rPr>
          <w:rFonts w:eastAsia="Times New Roman" w:cs="Times New Roman"/>
          <w:szCs w:val="20"/>
          <w:lang w:eastAsia="en-GB"/>
        </w:rPr>
        <w:t>e</w:t>
      </w:r>
      <w:r w:rsidRPr="00F55CB9">
        <w:rPr>
          <w:rFonts w:eastAsia="Times New Roman" w:cs="Times New Roman"/>
          <w:szCs w:val="20"/>
          <w:lang w:eastAsia="en-GB"/>
        </w:rPr>
        <w:t xml:space="preserve">sources and demand side flexibility. </w:t>
      </w:r>
    </w:p>
    <w:p w:rsidR="004B3C7A" w:rsidRDefault="004B3C7A" w:rsidP="004B3C7A">
      <w:pPr>
        <w:outlineLvl w:val="0"/>
        <w:rPr>
          <w:color w:val="595959" w:themeColor="text1" w:themeTint="A6"/>
        </w:rPr>
      </w:pPr>
    </w:p>
    <w:p w:rsidR="004B3C7A" w:rsidRPr="004B3C7A" w:rsidRDefault="004B3C7A" w:rsidP="004B3C7A">
      <w:pPr>
        <w:outlineLvl w:val="0"/>
        <w:rPr>
          <w:color w:val="595959" w:themeColor="text1" w:themeTint="A6"/>
        </w:rPr>
      </w:pPr>
    </w:p>
    <w:p w:rsidR="0097172A" w:rsidRPr="001E1C56" w:rsidRDefault="0097172A" w:rsidP="0097172A">
      <w:pPr>
        <w:outlineLvl w:val="0"/>
        <w:rPr>
          <w:color w:val="595959" w:themeColor="text1" w:themeTint="A6"/>
        </w:rPr>
      </w:pPr>
    </w:p>
    <w:p w:rsidR="0097172A" w:rsidRPr="00211B2F" w:rsidRDefault="0097172A" w:rsidP="0097172A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 w:rsidRPr="00211B2F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lastRenderedPageBreak/>
        <w:t xml:space="preserve">European and international liaison:  </w:t>
      </w:r>
    </w:p>
    <w:p w:rsidR="0097172A" w:rsidRPr="00F55CB9" w:rsidRDefault="0097172A" w:rsidP="00FB6FB4">
      <w:pPr>
        <w:spacing w:after="200" w:line="276" w:lineRule="auto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DG Energy (ENER), DG Justice &amp; Consumers (JUST), European Parliament’s Industry, Research &amp; Energy (ITRE) and Internal Market &amp; Consumer Protection (IMCO) Committees, Citizens’ Energy Forum (Dublin Forum), Agency of the Cooperation of Energy Regulators (ACER), Council of European Energy Regulators (CEER), Eur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o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pean Consumer Organisation (BEUC), </w:t>
      </w:r>
      <w:proofErr w:type="spellStart"/>
      <w:r w:rsidRPr="00F55CB9">
        <w:rPr>
          <w:rFonts w:asciiTheme="minorHAnsi" w:eastAsiaTheme="minorHAnsi" w:hAnsiTheme="minorHAnsi" w:cstheme="minorBidi"/>
          <w:szCs w:val="22"/>
          <w:lang w:eastAsia="en-US"/>
        </w:rPr>
        <w:t>SmartEn</w:t>
      </w:r>
      <w:proofErr w:type="spellEnd"/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proofErr w:type="spellStart"/>
      <w:r w:rsidRPr="00F55CB9">
        <w:rPr>
          <w:rFonts w:asciiTheme="minorHAnsi" w:eastAsiaTheme="minorHAnsi" w:hAnsiTheme="minorHAnsi" w:cstheme="minorBidi"/>
          <w:szCs w:val="22"/>
          <w:lang w:eastAsia="en-US"/>
        </w:rPr>
        <w:t>RESCoop</w:t>
      </w:r>
      <w:proofErr w:type="spellEnd"/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proofErr w:type="spellStart"/>
      <w:r w:rsidRPr="00F55CB9">
        <w:rPr>
          <w:rFonts w:asciiTheme="minorHAnsi" w:eastAsiaTheme="minorHAnsi" w:hAnsiTheme="minorHAnsi" w:cstheme="minorBidi"/>
          <w:szCs w:val="22"/>
          <w:lang w:eastAsia="en-US"/>
        </w:rPr>
        <w:t>Eurogas</w:t>
      </w:r>
      <w:proofErr w:type="spellEnd"/>
      <w:r w:rsidRPr="00F55CB9">
        <w:rPr>
          <w:rFonts w:asciiTheme="minorHAnsi" w:eastAsiaTheme="minorHAnsi" w:hAnsiTheme="minorHAnsi" w:cstheme="minorBidi"/>
          <w:szCs w:val="22"/>
          <w:lang w:eastAsia="en-US"/>
        </w:rPr>
        <w:t>, EDSO for Smart Grids, GEODE, CEDEC</w:t>
      </w:r>
      <w:r w:rsidR="00FB6FB4" w:rsidRPr="00F55CB9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:rsidR="00797848" w:rsidRDefault="00797848" w:rsidP="00027F4A">
      <w:pPr>
        <w:spacing w:line="276" w:lineRule="auto"/>
        <w:jc w:val="left"/>
        <w:rPr>
          <w:rFonts w:asciiTheme="minorHAnsi" w:eastAsiaTheme="minorHAnsi" w:hAnsiTheme="minorHAnsi" w:cstheme="minorBidi"/>
          <w:color w:val="595959" w:themeColor="text1" w:themeTint="A6"/>
          <w:szCs w:val="22"/>
          <w:lang w:eastAsia="en-US"/>
        </w:rPr>
      </w:pPr>
    </w:p>
    <w:p w:rsidR="006440B7" w:rsidRDefault="00C1676F" w:rsidP="00A63DB0">
      <w:pPr>
        <w:pStyle w:val="ToRWGTitle"/>
        <w:spacing w:after="120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Work Programme </w:t>
      </w:r>
    </w:p>
    <w:p w:rsidR="00A63DB0" w:rsidRPr="00F55CB9" w:rsidRDefault="00A63DB0" w:rsidP="00FB6FB4">
      <w:pPr>
        <w:spacing w:after="200" w:line="276" w:lineRule="auto"/>
        <w:outlineLvl w:val="0"/>
        <w:rPr>
          <w:rFonts w:asciiTheme="minorHAnsi" w:eastAsiaTheme="minorHAnsi" w:hAnsiTheme="minorHAnsi" w:cstheme="minorBidi"/>
          <w:szCs w:val="22"/>
          <w:lang w:eastAsia="en-US"/>
        </w:rPr>
      </w:pPr>
      <w:r w:rsidRPr="00F55CB9">
        <w:rPr>
          <w:rFonts w:asciiTheme="minorHAnsi" w:eastAsiaTheme="minorHAnsi" w:hAnsiTheme="minorHAnsi" w:cstheme="minorBidi"/>
          <w:szCs w:val="22"/>
          <w:lang w:eastAsia="en-US"/>
        </w:rPr>
        <w:t>The Chairmanship along with the Secretariat, on a yearly basis and towards the end of each year, submits a work programme proposal with clearly defined priorities for consideration to the WG, together with appropr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i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>ate justification on added-value. These priorities shall be in line with the Board’s priorities, the respective Committees’ work programme and take into account the foreseen resources available at the Secretari</w:t>
      </w:r>
      <w:r w:rsidR="008A4980" w:rsidRPr="00F55CB9">
        <w:rPr>
          <w:rFonts w:asciiTheme="minorHAnsi" w:eastAsiaTheme="minorHAnsi" w:hAnsiTheme="minorHAnsi" w:cstheme="minorBidi"/>
          <w:szCs w:val="22"/>
          <w:lang w:eastAsia="en-US"/>
        </w:rPr>
        <w:t>at side</w:t>
      </w:r>
      <w:r w:rsidRPr="00F55CB9">
        <w:rPr>
          <w:rFonts w:asciiTheme="minorHAnsi" w:eastAsiaTheme="minorHAnsi" w:hAnsiTheme="minorHAnsi" w:cstheme="minorBidi"/>
          <w:szCs w:val="22"/>
          <w:lang w:eastAsia="en-US"/>
        </w:rPr>
        <w:t xml:space="preserve">. Following this process, the Chairmanship along with the Secretariat delivers for approval a final proposal to the respective Committee. </w:t>
      </w:r>
    </w:p>
    <w:p w:rsidR="00AC4142" w:rsidRPr="00FB6FB4" w:rsidRDefault="00C824E7" w:rsidP="00FB6FB4">
      <w:pPr>
        <w:jc w:val="left"/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</w:pPr>
      <w:r>
        <w:rPr>
          <w:rFonts w:asciiTheme="minorHAnsi" w:eastAsiaTheme="minorHAnsi" w:hAnsiTheme="minorHAnsi" w:cstheme="minorBidi"/>
          <w:color w:val="595959" w:themeColor="text1" w:themeTint="A6"/>
          <w:szCs w:val="22"/>
          <w:lang w:eastAsia="en-US"/>
        </w:rPr>
        <w:br w:type="page"/>
      </w: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lastRenderedPageBreak/>
        <w:t>ANNEX –</w:t>
      </w:r>
      <w:r w:rsidR="00A061C9"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 xml:space="preserve"> Work Programme 2018-</w:t>
      </w:r>
      <w:r>
        <w:rPr>
          <w:rFonts w:asciiTheme="minorHAnsi" w:eastAsiaTheme="minorEastAsia" w:hAnsi="Calibri" w:cs="EDP Preon Regular"/>
          <w:b/>
          <w:color w:val="2C63FF"/>
          <w:kern w:val="24"/>
          <w:sz w:val="24"/>
          <w:szCs w:val="50"/>
        </w:rPr>
        <w:t>2019</w:t>
      </w:r>
    </w:p>
    <w:tbl>
      <w:tblPr>
        <w:tblW w:w="9606" w:type="dxa"/>
        <w:tblBorders>
          <w:top w:val="single" w:sz="4" w:space="0" w:color="003399"/>
          <w:left w:val="single" w:sz="4" w:space="0" w:color="003399"/>
          <w:bottom w:val="single" w:sz="4" w:space="0" w:color="003399"/>
          <w:right w:val="single" w:sz="4" w:space="0" w:color="003399"/>
          <w:insideH w:val="single" w:sz="4" w:space="0" w:color="003399"/>
          <w:insideV w:val="single" w:sz="4" w:space="0" w:color="003399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1936"/>
        <w:gridCol w:w="1280"/>
        <w:gridCol w:w="1276"/>
        <w:gridCol w:w="2381"/>
      </w:tblGrid>
      <w:tr w:rsidR="005452CE" w:rsidRPr="00511362" w:rsidTr="005452CE">
        <w:trPr>
          <w:trHeight w:val="782"/>
        </w:trPr>
        <w:tc>
          <w:tcPr>
            <w:tcW w:w="2733" w:type="dxa"/>
            <w:shd w:val="clear" w:color="auto" w:fill="2C63FE"/>
          </w:tcPr>
          <w:p w:rsidR="005452CE" w:rsidRPr="00511362" w:rsidRDefault="005452CE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Deliverable</w:t>
            </w:r>
          </w:p>
        </w:tc>
        <w:tc>
          <w:tcPr>
            <w:tcW w:w="1936" w:type="dxa"/>
            <w:shd w:val="clear" w:color="auto" w:fill="2C63FE"/>
          </w:tcPr>
          <w:p w:rsidR="005452CE" w:rsidRPr="00511362" w:rsidRDefault="005452CE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Deliverable Type</w:t>
            </w:r>
          </w:p>
        </w:tc>
        <w:tc>
          <w:tcPr>
            <w:tcW w:w="1280" w:type="dxa"/>
            <w:shd w:val="clear" w:color="auto" w:fill="2C63FE"/>
          </w:tcPr>
          <w:p w:rsidR="005452CE" w:rsidRPr="00511362" w:rsidRDefault="005452CE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Anticipated Start Date:</w:t>
            </w:r>
          </w:p>
        </w:tc>
        <w:tc>
          <w:tcPr>
            <w:tcW w:w="1276" w:type="dxa"/>
            <w:shd w:val="clear" w:color="auto" w:fill="2C63FE"/>
          </w:tcPr>
          <w:p w:rsidR="005452CE" w:rsidRPr="00511362" w:rsidRDefault="005452CE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Anticipated</w:t>
            </w:r>
            <w:r w:rsidRPr="00511362">
              <w:rPr>
                <w:rFonts w:ascii="Calibri" w:hAnsi="Calibri"/>
                <w:b/>
                <w:color w:val="FFFFFF"/>
              </w:rPr>
              <w:br/>
              <w:t>Delivery Date:</w:t>
            </w:r>
          </w:p>
        </w:tc>
        <w:tc>
          <w:tcPr>
            <w:tcW w:w="2381" w:type="dxa"/>
            <w:shd w:val="clear" w:color="auto" w:fill="2C63FE"/>
          </w:tcPr>
          <w:p w:rsidR="005452CE" w:rsidRPr="00511362" w:rsidRDefault="005452CE" w:rsidP="00B614E0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>Stakeholders/</w:t>
            </w:r>
          </w:p>
          <w:p w:rsidR="005452CE" w:rsidRPr="00511362" w:rsidRDefault="005452CE" w:rsidP="00FB6FB4">
            <w:pPr>
              <w:snapToGrid w:val="0"/>
              <w:rPr>
                <w:rFonts w:ascii="Calibri" w:hAnsi="Calibri"/>
                <w:b/>
                <w:color w:val="FFFFFF"/>
              </w:rPr>
            </w:pPr>
            <w:r w:rsidRPr="00511362">
              <w:rPr>
                <w:rFonts w:ascii="Calibri" w:hAnsi="Calibri"/>
                <w:b/>
                <w:color w:val="FFFFFF"/>
              </w:rPr>
              <w:t xml:space="preserve">External parties to be influenced 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B614E0">
            <w:pPr>
              <w:spacing w:after="240"/>
              <w:jc w:val="left"/>
              <w:rPr>
                <w:rFonts w:asciiTheme="minorHAnsi" w:hAnsiTheme="minorHAnsi"/>
              </w:rPr>
            </w:pPr>
            <w:bookmarkStart w:id="0" w:name="_GoBack"/>
            <w:r w:rsidRPr="002720FA">
              <w:rPr>
                <w:rFonts w:asciiTheme="minorHAnsi" w:hAnsiTheme="minorHAnsi"/>
              </w:rPr>
              <w:t>Clean Energy Package final</w:t>
            </w:r>
            <w:r w:rsidRPr="002720FA">
              <w:rPr>
                <w:rFonts w:asciiTheme="minorHAnsi" w:hAnsiTheme="minorHAnsi"/>
              </w:rPr>
              <w:t>i</w:t>
            </w:r>
            <w:r w:rsidRPr="002720FA">
              <w:rPr>
                <w:rFonts w:asciiTheme="minorHAnsi" w:hAnsiTheme="minorHAnsi"/>
              </w:rPr>
              <w:t>sation, in particular on the electricity directive (active consumers, dynamic pri</w:t>
            </w:r>
            <w:r w:rsidRPr="002720FA">
              <w:rPr>
                <w:rFonts w:asciiTheme="minorHAnsi" w:hAnsiTheme="minorHAnsi"/>
              </w:rPr>
              <w:t>c</w:t>
            </w:r>
            <w:r w:rsidRPr="002720FA">
              <w:rPr>
                <w:rFonts w:asciiTheme="minorHAnsi" w:hAnsiTheme="minorHAnsi"/>
              </w:rPr>
              <w:t>ing, aggregation, demand response, local energy communities, smart mete</w:t>
            </w:r>
            <w:r w:rsidRPr="002720FA">
              <w:rPr>
                <w:rFonts w:asciiTheme="minorHAnsi" w:hAnsiTheme="minorHAnsi"/>
              </w:rPr>
              <w:t>r</w:t>
            </w:r>
            <w:r w:rsidRPr="002720FA">
              <w:rPr>
                <w:rFonts w:asciiTheme="minorHAnsi" w:hAnsiTheme="minorHAnsi"/>
              </w:rPr>
              <w:t>ing).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Position papers, joint statements, </w:t>
            </w: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Active particip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tion in regulatory fora </w:t>
            </w: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 w:val="16"/>
                <w:szCs w:val="16"/>
                <w:lang w:eastAsia="en-US"/>
              </w:rPr>
            </w:pP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Bilateral meetings</w:t>
            </w: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2016</w:t>
            </w:r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Q2 2019</w:t>
            </w:r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2720FA">
              <w:rPr>
                <w:rFonts w:asciiTheme="minorHAnsi" w:hAnsiTheme="minorHAnsi"/>
              </w:rPr>
              <w:t>Develop a compelling vision on customers’ and suppl</w:t>
            </w:r>
            <w:r w:rsidRPr="002720FA">
              <w:rPr>
                <w:rFonts w:asciiTheme="minorHAnsi" w:hAnsiTheme="minorHAnsi"/>
              </w:rPr>
              <w:t>i</w:t>
            </w:r>
            <w:r w:rsidRPr="002720FA">
              <w:rPr>
                <w:rFonts w:asciiTheme="minorHAnsi" w:hAnsiTheme="minorHAnsi"/>
              </w:rPr>
              <w:t>ers’ role for the energy transition</w:t>
            </w:r>
          </w:p>
          <w:p w:rsidR="005452CE" w:rsidRPr="002720FA" w:rsidRDefault="005452CE" w:rsidP="00B614E0">
            <w:pPr>
              <w:spacing w:after="240"/>
              <w:jc w:val="left"/>
              <w:rPr>
                <w:rFonts w:asciiTheme="minorHAnsi" w:hAnsiTheme="minorHAnsi"/>
              </w:rPr>
            </w:pP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Internal and exte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nal workshops </w:t>
            </w: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Manifesto with a clear description of the on-going evolution of the role of suppliers, resulting commi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ments and r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quests to policy makers</w:t>
            </w: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High-level confe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ence</w:t>
            </w: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Communication campaign </w:t>
            </w: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Q3 2018</w:t>
            </w:r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Q1 2019</w:t>
            </w:r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All EU Institutions and stakeholder associ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tions such as BEUC, </w:t>
            </w: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Rescoop</w:t>
            </w:r>
            <w:proofErr w:type="spellEnd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, </w:t>
            </w: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etc</w:t>
            </w:r>
            <w:proofErr w:type="spellEnd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…  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2720FA">
              <w:rPr>
                <w:rFonts w:asciiTheme="minorHAnsi" w:hAnsiTheme="minorHAnsi"/>
              </w:rPr>
              <w:t xml:space="preserve">Local Energy Communities 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 xml:space="preserve">Position paper </w:t>
            </w: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  <w:proofErr w:type="spellEnd"/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regul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tors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FB6FB4">
            <w:pPr>
              <w:jc w:val="left"/>
              <w:rPr>
                <w:rFonts w:asciiTheme="minorHAnsi" w:hAnsiTheme="minorHAnsi"/>
              </w:rPr>
            </w:pPr>
            <w:r w:rsidRPr="002720FA">
              <w:rPr>
                <w:rFonts w:asciiTheme="minorHAnsi" w:hAnsiTheme="minorHAnsi"/>
              </w:rPr>
              <w:t>Redesign of the electricity price signals for a successful participation of customers to the energy transition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  <w:proofErr w:type="spellEnd"/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regul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tors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FB6FB4">
            <w:pPr>
              <w:jc w:val="left"/>
              <w:rPr>
                <w:rFonts w:asciiTheme="minorHAnsi" w:hAnsiTheme="minorHAnsi"/>
              </w:rPr>
            </w:pPr>
            <w:r w:rsidRPr="002720FA">
              <w:rPr>
                <w:rFonts w:asciiTheme="minorHAnsi" w:hAnsiTheme="minorHAnsi"/>
              </w:rPr>
              <w:t>Input to digital single ma</w:t>
            </w:r>
            <w:r w:rsidRPr="002720FA">
              <w:rPr>
                <w:rFonts w:asciiTheme="minorHAnsi" w:hAnsiTheme="minorHAnsi"/>
              </w:rPr>
              <w:t>r</w:t>
            </w:r>
            <w:r w:rsidRPr="002720FA">
              <w:rPr>
                <w:rFonts w:asciiTheme="minorHAnsi" w:hAnsiTheme="minorHAnsi"/>
              </w:rPr>
              <w:t>ket strategy and data reg</w:t>
            </w:r>
            <w:r w:rsidRPr="002720FA">
              <w:rPr>
                <w:rFonts w:asciiTheme="minorHAnsi" w:hAnsiTheme="minorHAnsi"/>
              </w:rPr>
              <w:t>u</w:t>
            </w:r>
            <w:r w:rsidRPr="002720FA">
              <w:rPr>
                <w:rFonts w:asciiTheme="minorHAnsi" w:hAnsiTheme="minorHAnsi"/>
              </w:rPr>
              <w:t>lation, engage with instit</w:t>
            </w:r>
            <w:r w:rsidRPr="002720FA">
              <w:rPr>
                <w:rFonts w:asciiTheme="minorHAnsi" w:hAnsiTheme="minorHAnsi"/>
              </w:rPr>
              <w:t>u</w:t>
            </w:r>
            <w:r w:rsidRPr="002720FA">
              <w:rPr>
                <w:rFonts w:asciiTheme="minorHAnsi" w:hAnsiTheme="minorHAnsi"/>
              </w:rPr>
              <w:t>tions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proofErr w:type="spellStart"/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tbd</w:t>
            </w:r>
            <w:proofErr w:type="spellEnd"/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regul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tors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B614E0">
            <w:pPr>
              <w:spacing w:after="240"/>
              <w:jc w:val="left"/>
              <w:rPr>
                <w:rFonts w:asciiTheme="minorHAnsi" w:hAnsiTheme="minorHAnsi"/>
              </w:rPr>
            </w:pPr>
            <w:r w:rsidRPr="002720FA">
              <w:rPr>
                <w:rFonts w:asciiTheme="minorHAnsi" w:hAnsiTheme="minorHAnsi"/>
              </w:rPr>
              <w:t>Input to the internal Electr</w:t>
            </w:r>
            <w:r w:rsidRPr="002720FA">
              <w:rPr>
                <w:rFonts w:asciiTheme="minorHAnsi" w:hAnsiTheme="minorHAnsi"/>
              </w:rPr>
              <w:t>i</w:t>
            </w:r>
            <w:r w:rsidRPr="002720FA">
              <w:rPr>
                <w:rFonts w:asciiTheme="minorHAnsi" w:hAnsiTheme="minorHAnsi"/>
              </w:rPr>
              <w:t>fication and Decarbonis</w:t>
            </w:r>
            <w:r w:rsidRPr="002720FA">
              <w:rPr>
                <w:rFonts w:asciiTheme="minorHAnsi" w:hAnsiTheme="minorHAnsi"/>
              </w:rPr>
              <w:t>a</w:t>
            </w:r>
            <w:r w:rsidRPr="002720FA">
              <w:rPr>
                <w:rFonts w:asciiTheme="minorHAnsi" w:hAnsiTheme="minorHAnsi"/>
              </w:rPr>
              <w:t>tion study with McKinsey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Internal wor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k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shops on deca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r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bonisation and electrification</w:t>
            </w: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Q2 2018</w:t>
            </w:r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Q4 2018</w:t>
            </w:r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stak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holder associations (sector associations, NGOs, etc.)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FB6FB4">
            <w:pPr>
              <w:jc w:val="left"/>
              <w:rPr>
                <w:rFonts w:asciiTheme="minorHAnsi" w:hAnsiTheme="minorHAnsi"/>
              </w:rPr>
            </w:pPr>
            <w:r w:rsidRPr="002720FA">
              <w:rPr>
                <w:rFonts w:asciiTheme="minorHAnsi" w:hAnsiTheme="minorHAnsi"/>
              </w:rPr>
              <w:t>Bill infographics to be u</w:t>
            </w:r>
            <w:r w:rsidRPr="002720FA">
              <w:rPr>
                <w:rFonts w:asciiTheme="minorHAnsi" w:hAnsiTheme="minorHAnsi"/>
              </w:rPr>
              <w:t>p</w:t>
            </w:r>
            <w:r w:rsidRPr="002720FA">
              <w:rPr>
                <w:rFonts w:asciiTheme="minorHAnsi" w:hAnsiTheme="minorHAnsi"/>
              </w:rPr>
              <w:t>dated with the new data from the upcoming EC r</w:t>
            </w:r>
            <w:r w:rsidRPr="002720FA">
              <w:rPr>
                <w:rFonts w:asciiTheme="minorHAnsi" w:hAnsiTheme="minorHAnsi"/>
              </w:rPr>
              <w:t>e</w:t>
            </w:r>
            <w:r w:rsidRPr="002720FA">
              <w:rPr>
                <w:rFonts w:asciiTheme="minorHAnsi" w:hAnsiTheme="minorHAnsi"/>
              </w:rPr>
              <w:t>port on prices and costs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Infographics</w:t>
            </w: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Q1 2019</w:t>
            </w:r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Q1 2019</w:t>
            </w:r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regul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tors</w:t>
            </w:r>
          </w:p>
        </w:tc>
      </w:tr>
      <w:tr w:rsidR="002720FA" w:rsidRPr="002720FA" w:rsidTr="005452CE">
        <w:tc>
          <w:tcPr>
            <w:tcW w:w="2733" w:type="dxa"/>
            <w:shd w:val="clear" w:color="auto" w:fill="auto"/>
          </w:tcPr>
          <w:p w:rsidR="005452CE" w:rsidRPr="002720FA" w:rsidRDefault="005452CE" w:rsidP="00B614E0">
            <w:pPr>
              <w:pStyle w:val="NoSpacing"/>
            </w:pPr>
            <w:r w:rsidRPr="002720FA">
              <w:t>Input to the revision of the Energy Taxation Directive</w:t>
            </w:r>
          </w:p>
        </w:tc>
        <w:tc>
          <w:tcPr>
            <w:tcW w:w="1936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Respond to the EU consultation</w:t>
            </w:r>
          </w:p>
        </w:tc>
        <w:tc>
          <w:tcPr>
            <w:tcW w:w="1280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March 2018</w:t>
            </w:r>
          </w:p>
        </w:tc>
        <w:tc>
          <w:tcPr>
            <w:tcW w:w="1276" w:type="dxa"/>
            <w:shd w:val="clear" w:color="auto" w:fill="auto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May 2018</w:t>
            </w:r>
          </w:p>
        </w:tc>
        <w:tc>
          <w:tcPr>
            <w:tcW w:w="2381" w:type="dxa"/>
          </w:tcPr>
          <w:p w:rsidR="005452CE" w:rsidRPr="002720FA" w:rsidRDefault="005452CE" w:rsidP="00B614E0">
            <w:pPr>
              <w:snapToGrid w:val="0"/>
              <w:jc w:val="left"/>
              <w:rPr>
                <w:rFonts w:asciiTheme="minorHAnsi" w:eastAsia="Calibri" w:hAnsiTheme="minorHAnsi" w:cs="Calibri"/>
                <w:szCs w:val="22"/>
                <w:lang w:eastAsia="en-US"/>
              </w:rPr>
            </w:pP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EU institutions, regul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a</w:t>
            </w:r>
            <w:r w:rsidRPr="002720FA">
              <w:rPr>
                <w:rFonts w:asciiTheme="minorHAnsi" w:eastAsia="Calibri" w:hAnsiTheme="minorHAnsi" w:cs="Calibri"/>
                <w:szCs w:val="22"/>
                <w:lang w:eastAsia="en-US"/>
              </w:rPr>
              <w:t>tors</w:t>
            </w:r>
          </w:p>
        </w:tc>
      </w:tr>
      <w:bookmarkEnd w:id="0"/>
    </w:tbl>
    <w:p w:rsidR="00C824E7" w:rsidRPr="00C824E7" w:rsidRDefault="00C824E7" w:rsidP="004B3C7A">
      <w:pPr>
        <w:spacing w:line="276" w:lineRule="auto"/>
        <w:jc w:val="left"/>
        <w:rPr>
          <w:rFonts w:asciiTheme="minorHAnsi" w:eastAsiaTheme="minorHAnsi" w:hAnsiTheme="minorHAnsi" w:cstheme="minorBidi"/>
          <w:color w:val="595959" w:themeColor="text1" w:themeTint="A6"/>
          <w:szCs w:val="22"/>
          <w:lang w:eastAsia="en-US"/>
        </w:rPr>
      </w:pPr>
    </w:p>
    <w:sectPr w:rsidR="00C824E7" w:rsidRPr="00C824E7" w:rsidSect="00825538">
      <w:headerReference w:type="default" r:id="rId9"/>
      <w:headerReference w:type="first" r:id="rId10"/>
      <w:footerReference w:type="first" r:id="rId11"/>
      <w:pgSz w:w="11907" w:h="16840" w:code="9"/>
      <w:pgMar w:top="567" w:right="992" w:bottom="1242" w:left="99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90" w:rsidRDefault="00665990">
      <w:r>
        <w:separator/>
      </w:r>
    </w:p>
  </w:endnote>
  <w:endnote w:type="continuationSeparator" w:id="0">
    <w:p w:rsidR="00665990" w:rsidRDefault="0066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Qanelas">
    <w:altName w:val="Arial"/>
    <w:panose1 w:val="000005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EDP Preon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32D" w:rsidRPr="00DF230D" w:rsidRDefault="00F3732D" w:rsidP="00F3732D">
    <w:pPr>
      <w:pStyle w:val="Footer"/>
      <w:jc w:val="right"/>
      <w:rPr>
        <w:rFonts w:ascii="Calibri" w:hAnsi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90" w:rsidRDefault="00665990">
      <w:r>
        <w:separator/>
      </w:r>
    </w:p>
  </w:footnote>
  <w:footnote w:type="continuationSeparator" w:id="0">
    <w:p w:rsidR="00665990" w:rsidRDefault="00665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FB4" w:rsidRPr="004B3C7A" w:rsidRDefault="00FB6FB4">
    <w:pPr>
      <w:pStyle w:val="Header"/>
      <w:rPr>
        <w:noProof/>
      </w:rPr>
    </w:pPr>
    <w:r w:rsidRPr="00BA6A2C">
      <w:rPr>
        <w:noProof/>
      </w:rPr>
      <w:drawing>
        <wp:inline distT="0" distB="0" distL="0" distR="0" wp14:anchorId="1C5433E0" wp14:editId="6556DE6E">
          <wp:extent cx="2087028" cy="4762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263" b="17836"/>
                  <a:stretch/>
                </pic:blipFill>
                <pic:spPr bwMode="auto">
                  <a:xfrm>
                    <a:off x="0" y="0"/>
                    <a:ext cx="2105696" cy="48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069"/>
    </w:tblGrid>
    <w:tr w:rsidR="00DF04A7" w:rsidTr="00AF22A9">
      <w:tc>
        <w:tcPr>
          <w:tcW w:w="5069" w:type="dxa"/>
          <w:shd w:val="clear" w:color="auto" w:fill="auto"/>
        </w:tcPr>
        <w:p w:rsidR="00DF04A7" w:rsidRDefault="009C51C8" w:rsidP="00DF04A7">
          <w:pPr>
            <w:pStyle w:val="Header"/>
            <w:jc w:val="center"/>
          </w:pPr>
          <w:r w:rsidRPr="00BA6A2C">
            <w:rPr>
              <w:noProof/>
            </w:rPr>
            <w:drawing>
              <wp:inline distT="0" distB="0" distL="0" distR="0" wp14:anchorId="50FE1BFF" wp14:editId="3F84D596">
                <wp:extent cx="2088107" cy="45743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5263" b="17836"/>
                        <a:stretch/>
                      </pic:blipFill>
                      <pic:spPr bwMode="auto">
                        <a:xfrm>
                          <a:off x="0" y="0"/>
                          <a:ext cx="2105274" cy="46119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6E15D4" w:rsidRDefault="006E15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492"/>
    <w:multiLevelType w:val="hybridMultilevel"/>
    <w:tmpl w:val="6BEA89E2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F6306"/>
    <w:multiLevelType w:val="hybridMultilevel"/>
    <w:tmpl w:val="406E3F92"/>
    <w:lvl w:ilvl="0" w:tplc="138C56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4E99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9A90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C45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2A7B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6E4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E4D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B040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3E95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262E3"/>
    <w:multiLevelType w:val="hybridMultilevel"/>
    <w:tmpl w:val="B320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84DF2"/>
    <w:multiLevelType w:val="hybridMultilevel"/>
    <w:tmpl w:val="EEB66874"/>
    <w:lvl w:ilvl="0" w:tplc="AB66E7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5CA8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BA3A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E5D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00E4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E621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440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5082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F43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4E0FE2"/>
    <w:multiLevelType w:val="hybridMultilevel"/>
    <w:tmpl w:val="18360FD0"/>
    <w:lvl w:ilvl="0" w:tplc="20EC7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0E4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24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A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CC0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60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622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2D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0F556F9"/>
    <w:multiLevelType w:val="hybridMultilevel"/>
    <w:tmpl w:val="D24AE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C41A8"/>
    <w:multiLevelType w:val="hybridMultilevel"/>
    <w:tmpl w:val="F2EE51FE"/>
    <w:lvl w:ilvl="0" w:tplc="0F42A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98D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8AE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A4B7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D0D0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CD8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FA60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4EF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82F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9337E5"/>
    <w:multiLevelType w:val="hybridMultilevel"/>
    <w:tmpl w:val="913E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6D363F"/>
    <w:multiLevelType w:val="hybridMultilevel"/>
    <w:tmpl w:val="B6288A9E"/>
    <w:lvl w:ilvl="0" w:tplc="4EF0E1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0C3E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1EA6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747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28B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7E0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0665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208A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06B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C66FAD"/>
    <w:multiLevelType w:val="hybridMultilevel"/>
    <w:tmpl w:val="17849DAA"/>
    <w:lvl w:ilvl="0" w:tplc="D3E2310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E17C3"/>
    <w:multiLevelType w:val="hybridMultilevel"/>
    <w:tmpl w:val="5B3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091568"/>
    <w:multiLevelType w:val="hybridMultilevel"/>
    <w:tmpl w:val="CB36734A"/>
    <w:lvl w:ilvl="0" w:tplc="52ACF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470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0CC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EE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18B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09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AB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4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9B65B95"/>
    <w:multiLevelType w:val="singleLevel"/>
    <w:tmpl w:val="C7464A54"/>
    <w:lvl w:ilvl="0">
      <w:numFmt w:val="bullet"/>
      <w:pStyle w:val="ToRBullets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B3966CB"/>
    <w:multiLevelType w:val="hybridMultilevel"/>
    <w:tmpl w:val="A3823948"/>
    <w:lvl w:ilvl="0" w:tplc="0F266A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6B123184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E063C7"/>
    <w:multiLevelType w:val="hybridMultilevel"/>
    <w:tmpl w:val="14B83266"/>
    <w:lvl w:ilvl="0" w:tplc="ECF4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BE92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1CD4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D6F4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2C9B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08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0C7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265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1CC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E65A30"/>
    <w:multiLevelType w:val="hybridMultilevel"/>
    <w:tmpl w:val="66320C66"/>
    <w:lvl w:ilvl="0" w:tplc="ED940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A7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4E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2E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21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CB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E3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DAE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BF97B6F"/>
    <w:multiLevelType w:val="hybridMultilevel"/>
    <w:tmpl w:val="674EAC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B7C6B"/>
    <w:multiLevelType w:val="hybridMultilevel"/>
    <w:tmpl w:val="D2BE7D48"/>
    <w:lvl w:ilvl="0" w:tplc="D6BA57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863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5460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E79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EAAC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FA0D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8A3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F619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D6DC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082A3D"/>
    <w:multiLevelType w:val="hybridMultilevel"/>
    <w:tmpl w:val="31F27B42"/>
    <w:lvl w:ilvl="0" w:tplc="25C2D9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CB8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9C85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2E4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6ACC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424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E8ED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F2C8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FE69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4C73B6"/>
    <w:multiLevelType w:val="hybridMultilevel"/>
    <w:tmpl w:val="9F308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FF77705"/>
    <w:multiLevelType w:val="hybridMultilevel"/>
    <w:tmpl w:val="B9768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6"/>
  </w:num>
  <w:num w:numId="5">
    <w:abstractNumId w:val="5"/>
  </w:num>
  <w:num w:numId="6">
    <w:abstractNumId w:val="11"/>
  </w:num>
  <w:num w:numId="7">
    <w:abstractNumId w:val="4"/>
  </w:num>
  <w:num w:numId="8">
    <w:abstractNumId w:val="20"/>
  </w:num>
  <w:num w:numId="9">
    <w:abstractNumId w:val="15"/>
  </w:num>
  <w:num w:numId="10">
    <w:abstractNumId w:val="3"/>
  </w:num>
  <w:num w:numId="11">
    <w:abstractNumId w:val="6"/>
  </w:num>
  <w:num w:numId="12">
    <w:abstractNumId w:val="18"/>
  </w:num>
  <w:num w:numId="13">
    <w:abstractNumId w:val="14"/>
  </w:num>
  <w:num w:numId="14">
    <w:abstractNumId w:val="8"/>
  </w:num>
  <w:num w:numId="15">
    <w:abstractNumId w:val="1"/>
  </w:num>
  <w:num w:numId="16">
    <w:abstractNumId w:val="17"/>
  </w:num>
  <w:num w:numId="17">
    <w:abstractNumId w:val="13"/>
  </w:num>
  <w:num w:numId="18">
    <w:abstractNumId w:val="2"/>
  </w:num>
  <w:num w:numId="19">
    <w:abstractNumId w:val="19"/>
  </w:num>
  <w:num w:numId="20">
    <w:abstractNumId w:val="7"/>
  </w:num>
  <w:num w:numId="2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EDD"/>
    <w:rsid w:val="00001E90"/>
    <w:rsid w:val="0000226E"/>
    <w:rsid w:val="00021752"/>
    <w:rsid w:val="00024483"/>
    <w:rsid w:val="00027F4A"/>
    <w:rsid w:val="0003121D"/>
    <w:rsid w:val="00033686"/>
    <w:rsid w:val="00035CD4"/>
    <w:rsid w:val="00040755"/>
    <w:rsid w:val="00041BB1"/>
    <w:rsid w:val="00041D5A"/>
    <w:rsid w:val="00047B54"/>
    <w:rsid w:val="00050EF9"/>
    <w:rsid w:val="000531F7"/>
    <w:rsid w:val="00067F9E"/>
    <w:rsid w:val="00072C99"/>
    <w:rsid w:val="00075B32"/>
    <w:rsid w:val="00081065"/>
    <w:rsid w:val="000816C8"/>
    <w:rsid w:val="0008583C"/>
    <w:rsid w:val="00090D7B"/>
    <w:rsid w:val="00093817"/>
    <w:rsid w:val="00093B29"/>
    <w:rsid w:val="000A0051"/>
    <w:rsid w:val="000A1412"/>
    <w:rsid w:val="000A3D2A"/>
    <w:rsid w:val="000A4DEA"/>
    <w:rsid w:val="000B2121"/>
    <w:rsid w:val="000B3123"/>
    <w:rsid w:val="000B5595"/>
    <w:rsid w:val="000B59E6"/>
    <w:rsid w:val="000B75C2"/>
    <w:rsid w:val="000C1D09"/>
    <w:rsid w:val="000C1D2D"/>
    <w:rsid w:val="000C5607"/>
    <w:rsid w:val="000D64B6"/>
    <w:rsid w:val="000E29A4"/>
    <w:rsid w:val="000F013F"/>
    <w:rsid w:val="000F1675"/>
    <w:rsid w:val="001032C5"/>
    <w:rsid w:val="001044B9"/>
    <w:rsid w:val="00105290"/>
    <w:rsid w:val="0010707D"/>
    <w:rsid w:val="00127657"/>
    <w:rsid w:val="00141339"/>
    <w:rsid w:val="00153636"/>
    <w:rsid w:val="001562B1"/>
    <w:rsid w:val="00160FB4"/>
    <w:rsid w:val="00167D0E"/>
    <w:rsid w:val="00182EA4"/>
    <w:rsid w:val="0019433C"/>
    <w:rsid w:val="001A1EFB"/>
    <w:rsid w:val="001A553C"/>
    <w:rsid w:val="001A6E82"/>
    <w:rsid w:val="001B1FC0"/>
    <w:rsid w:val="001B2791"/>
    <w:rsid w:val="001C369A"/>
    <w:rsid w:val="001C7776"/>
    <w:rsid w:val="001C7D29"/>
    <w:rsid w:val="001E7889"/>
    <w:rsid w:val="001F4879"/>
    <w:rsid w:val="001F690B"/>
    <w:rsid w:val="00201431"/>
    <w:rsid w:val="00221E3E"/>
    <w:rsid w:val="0022581C"/>
    <w:rsid w:val="0024532B"/>
    <w:rsid w:val="00250366"/>
    <w:rsid w:val="0025682D"/>
    <w:rsid w:val="00260FEE"/>
    <w:rsid w:val="002720FA"/>
    <w:rsid w:val="00275C4A"/>
    <w:rsid w:val="002A215E"/>
    <w:rsid w:val="002A2C74"/>
    <w:rsid w:val="002B5B70"/>
    <w:rsid w:val="002B7CBB"/>
    <w:rsid w:val="002C5C5F"/>
    <w:rsid w:val="002D65C9"/>
    <w:rsid w:val="002E2B6D"/>
    <w:rsid w:val="003138E8"/>
    <w:rsid w:val="00342A10"/>
    <w:rsid w:val="00343F0E"/>
    <w:rsid w:val="00345C79"/>
    <w:rsid w:val="00346BF9"/>
    <w:rsid w:val="00346DCD"/>
    <w:rsid w:val="003471DB"/>
    <w:rsid w:val="00353012"/>
    <w:rsid w:val="00363479"/>
    <w:rsid w:val="00365B86"/>
    <w:rsid w:val="0037007E"/>
    <w:rsid w:val="0037541E"/>
    <w:rsid w:val="00375A92"/>
    <w:rsid w:val="0038190C"/>
    <w:rsid w:val="00385C02"/>
    <w:rsid w:val="00385DD4"/>
    <w:rsid w:val="0039117A"/>
    <w:rsid w:val="00395CA6"/>
    <w:rsid w:val="00395F64"/>
    <w:rsid w:val="00397E4F"/>
    <w:rsid w:val="003A7A99"/>
    <w:rsid w:val="003B420E"/>
    <w:rsid w:val="003B5887"/>
    <w:rsid w:val="003B65F3"/>
    <w:rsid w:val="003C3E6E"/>
    <w:rsid w:val="003D536D"/>
    <w:rsid w:val="003D63D3"/>
    <w:rsid w:val="003F43BE"/>
    <w:rsid w:val="0040008B"/>
    <w:rsid w:val="004003BF"/>
    <w:rsid w:val="00400495"/>
    <w:rsid w:val="00403815"/>
    <w:rsid w:val="004065CC"/>
    <w:rsid w:val="004156C8"/>
    <w:rsid w:val="004309FF"/>
    <w:rsid w:val="00431A60"/>
    <w:rsid w:val="00434BAC"/>
    <w:rsid w:val="00434F18"/>
    <w:rsid w:val="00454BF0"/>
    <w:rsid w:val="00455795"/>
    <w:rsid w:val="0046249E"/>
    <w:rsid w:val="00470D70"/>
    <w:rsid w:val="004777B0"/>
    <w:rsid w:val="00487742"/>
    <w:rsid w:val="00492B28"/>
    <w:rsid w:val="0049441C"/>
    <w:rsid w:val="004A6A49"/>
    <w:rsid w:val="004B199F"/>
    <w:rsid w:val="004B3C7A"/>
    <w:rsid w:val="004C2AF2"/>
    <w:rsid w:val="004E6D05"/>
    <w:rsid w:val="004E7305"/>
    <w:rsid w:val="004F3C0F"/>
    <w:rsid w:val="004F5402"/>
    <w:rsid w:val="004F5F80"/>
    <w:rsid w:val="00501CED"/>
    <w:rsid w:val="005026C0"/>
    <w:rsid w:val="00504693"/>
    <w:rsid w:val="00507B6C"/>
    <w:rsid w:val="005100CD"/>
    <w:rsid w:val="00513DF3"/>
    <w:rsid w:val="005219A7"/>
    <w:rsid w:val="005279A2"/>
    <w:rsid w:val="00532A5D"/>
    <w:rsid w:val="00542B88"/>
    <w:rsid w:val="00544A40"/>
    <w:rsid w:val="005452CE"/>
    <w:rsid w:val="005465B3"/>
    <w:rsid w:val="00553BCE"/>
    <w:rsid w:val="00553CBD"/>
    <w:rsid w:val="00554C5D"/>
    <w:rsid w:val="005558B7"/>
    <w:rsid w:val="00556FB7"/>
    <w:rsid w:val="0058035A"/>
    <w:rsid w:val="00581883"/>
    <w:rsid w:val="00590381"/>
    <w:rsid w:val="005929FB"/>
    <w:rsid w:val="00595832"/>
    <w:rsid w:val="005A2DDE"/>
    <w:rsid w:val="005A332C"/>
    <w:rsid w:val="005C3546"/>
    <w:rsid w:val="005D0744"/>
    <w:rsid w:val="005D50A8"/>
    <w:rsid w:val="005D5101"/>
    <w:rsid w:val="005D5B76"/>
    <w:rsid w:val="005F6691"/>
    <w:rsid w:val="00613147"/>
    <w:rsid w:val="00613F19"/>
    <w:rsid w:val="00615F86"/>
    <w:rsid w:val="006172AC"/>
    <w:rsid w:val="00622539"/>
    <w:rsid w:val="006230A8"/>
    <w:rsid w:val="00627A4B"/>
    <w:rsid w:val="006365B1"/>
    <w:rsid w:val="006440B7"/>
    <w:rsid w:val="006448E8"/>
    <w:rsid w:val="00656F19"/>
    <w:rsid w:val="00660897"/>
    <w:rsid w:val="006626A4"/>
    <w:rsid w:val="0066331A"/>
    <w:rsid w:val="00665990"/>
    <w:rsid w:val="006675E2"/>
    <w:rsid w:val="006678BC"/>
    <w:rsid w:val="0067291B"/>
    <w:rsid w:val="00674313"/>
    <w:rsid w:val="00675A78"/>
    <w:rsid w:val="006768CB"/>
    <w:rsid w:val="00676AD4"/>
    <w:rsid w:val="00677118"/>
    <w:rsid w:val="00677B58"/>
    <w:rsid w:val="00682F8E"/>
    <w:rsid w:val="006A2DCB"/>
    <w:rsid w:val="006A4F18"/>
    <w:rsid w:val="006B3ADB"/>
    <w:rsid w:val="006B6A7B"/>
    <w:rsid w:val="006D64CA"/>
    <w:rsid w:val="006E0EA3"/>
    <w:rsid w:val="006E15D4"/>
    <w:rsid w:val="00704500"/>
    <w:rsid w:val="007068F8"/>
    <w:rsid w:val="007211D7"/>
    <w:rsid w:val="00721F44"/>
    <w:rsid w:val="0073717C"/>
    <w:rsid w:val="00740C28"/>
    <w:rsid w:val="00741B1F"/>
    <w:rsid w:val="007473E3"/>
    <w:rsid w:val="00756A4F"/>
    <w:rsid w:val="007602B3"/>
    <w:rsid w:val="00777336"/>
    <w:rsid w:val="00784162"/>
    <w:rsid w:val="007917DB"/>
    <w:rsid w:val="007922D0"/>
    <w:rsid w:val="00797848"/>
    <w:rsid w:val="007B3261"/>
    <w:rsid w:val="007D042E"/>
    <w:rsid w:val="007E27A9"/>
    <w:rsid w:val="007F2F7C"/>
    <w:rsid w:val="007F2FFE"/>
    <w:rsid w:val="007F69F1"/>
    <w:rsid w:val="008057EC"/>
    <w:rsid w:val="00805AB9"/>
    <w:rsid w:val="0081143D"/>
    <w:rsid w:val="00816E88"/>
    <w:rsid w:val="00820694"/>
    <w:rsid w:val="00825538"/>
    <w:rsid w:val="00837430"/>
    <w:rsid w:val="00837A97"/>
    <w:rsid w:val="00841105"/>
    <w:rsid w:val="008413A2"/>
    <w:rsid w:val="00847FF5"/>
    <w:rsid w:val="00872BAB"/>
    <w:rsid w:val="00875DC2"/>
    <w:rsid w:val="008772AD"/>
    <w:rsid w:val="008912C5"/>
    <w:rsid w:val="008922E5"/>
    <w:rsid w:val="008928E1"/>
    <w:rsid w:val="0089793B"/>
    <w:rsid w:val="008A4980"/>
    <w:rsid w:val="008A63F1"/>
    <w:rsid w:val="008A741F"/>
    <w:rsid w:val="008B3E75"/>
    <w:rsid w:val="008C43BC"/>
    <w:rsid w:val="008C7F3F"/>
    <w:rsid w:val="008D55E5"/>
    <w:rsid w:val="008D5EDD"/>
    <w:rsid w:val="008F3277"/>
    <w:rsid w:val="008F50C8"/>
    <w:rsid w:val="008F7E25"/>
    <w:rsid w:val="00917B35"/>
    <w:rsid w:val="00921D23"/>
    <w:rsid w:val="00923F6B"/>
    <w:rsid w:val="00926A49"/>
    <w:rsid w:val="009327F6"/>
    <w:rsid w:val="00941236"/>
    <w:rsid w:val="009472EC"/>
    <w:rsid w:val="0095498E"/>
    <w:rsid w:val="00955EEC"/>
    <w:rsid w:val="00956007"/>
    <w:rsid w:val="009635B1"/>
    <w:rsid w:val="0097172A"/>
    <w:rsid w:val="009745DF"/>
    <w:rsid w:val="009779CC"/>
    <w:rsid w:val="00982A57"/>
    <w:rsid w:val="00983E83"/>
    <w:rsid w:val="009850CD"/>
    <w:rsid w:val="00995E44"/>
    <w:rsid w:val="009B35D0"/>
    <w:rsid w:val="009C51C8"/>
    <w:rsid w:val="009C5F46"/>
    <w:rsid w:val="009D3B16"/>
    <w:rsid w:val="009E3B67"/>
    <w:rsid w:val="009E6436"/>
    <w:rsid w:val="009F4D77"/>
    <w:rsid w:val="009F768B"/>
    <w:rsid w:val="009F7B05"/>
    <w:rsid w:val="00A01EA5"/>
    <w:rsid w:val="00A02E85"/>
    <w:rsid w:val="00A031A7"/>
    <w:rsid w:val="00A061C9"/>
    <w:rsid w:val="00A06A00"/>
    <w:rsid w:val="00A254B6"/>
    <w:rsid w:val="00A312C3"/>
    <w:rsid w:val="00A37B8E"/>
    <w:rsid w:val="00A40C50"/>
    <w:rsid w:val="00A47C27"/>
    <w:rsid w:val="00A543B4"/>
    <w:rsid w:val="00A6056F"/>
    <w:rsid w:val="00A620DD"/>
    <w:rsid w:val="00A63A0F"/>
    <w:rsid w:val="00A63DB0"/>
    <w:rsid w:val="00A66E96"/>
    <w:rsid w:val="00A776B9"/>
    <w:rsid w:val="00A82292"/>
    <w:rsid w:val="00A87F17"/>
    <w:rsid w:val="00A922AF"/>
    <w:rsid w:val="00A96CE1"/>
    <w:rsid w:val="00AB2F8E"/>
    <w:rsid w:val="00AC1F96"/>
    <w:rsid w:val="00AC4142"/>
    <w:rsid w:val="00AD53D3"/>
    <w:rsid w:val="00AD7806"/>
    <w:rsid w:val="00AE045A"/>
    <w:rsid w:val="00AE2DBB"/>
    <w:rsid w:val="00AE33EE"/>
    <w:rsid w:val="00AE3AF8"/>
    <w:rsid w:val="00AE7C07"/>
    <w:rsid w:val="00AF22A9"/>
    <w:rsid w:val="00B10CC4"/>
    <w:rsid w:val="00B131E5"/>
    <w:rsid w:val="00B162BE"/>
    <w:rsid w:val="00B21287"/>
    <w:rsid w:val="00B3217C"/>
    <w:rsid w:val="00B321D3"/>
    <w:rsid w:val="00B327AC"/>
    <w:rsid w:val="00B36599"/>
    <w:rsid w:val="00B46097"/>
    <w:rsid w:val="00B477DA"/>
    <w:rsid w:val="00B47A2F"/>
    <w:rsid w:val="00B5475C"/>
    <w:rsid w:val="00B56B3C"/>
    <w:rsid w:val="00B61E46"/>
    <w:rsid w:val="00B66D0E"/>
    <w:rsid w:val="00B74851"/>
    <w:rsid w:val="00B84DAC"/>
    <w:rsid w:val="00B95510"/>
    <w:rsid w:val="00BB224F"/>
    <w:rsid w:val="00BC18A1"/>
    <w:rsid w:val="00BC5ADF"/>
    <w:rsid w:val="00BD37E3"/>
    <w:rsid w:val="00BD7906"/>
    <w:rsid w:val="00BE02C8"/>
    <w:rsid w:val="00BE2DA1"/>
    <w:rsid w:val="00BE4B1B"/>
    <w:rsid w:val="00BF21D4"/>
    <w:rsid w:val="00BF2269"/>
    <w:rsid w:val="00BF357B"/>
    <w:rsid w:val="00BF4762"/>
    <w:rsid w:val="00C02DEA"/>
    <w:rsid w:val="00C12839"/>
    <w:rsid w:val="00C1676F"/>
    <w:rsid w:val="00C17FC5"/>
    <w:rsid w:val="00C24317"/>
    <w:rsid w:val="00C3091F"/>
    <w:rsid w:val="00C60442"/>
    <w:rsid w:val="00C621CC"/>
    <w:rsid w:val="00C63A02"/>
    <w:rsid w:val="00C64159"/>
    <w:rsid w:val="00C659A6"/>
    <w:rsid w:val="00C71697"/>
    <w:rsid w:val="00C71B53"/>
    <w:rsid w:val="00C7738E"/>
    <w:rsid w:val="00C824E7"/>
    <w:rsid w:val="00C852DA"/>
    <w:rsid w:val="00C86876"/>
    <w:rsid w:val="00C9062A"/>
    <w:rsid w:val="00C93194"/>
    <w:rsid w:val="00CA4D41"/>
    <w:rsid w:val="00CB62DE"/>
    <w:rsid w:val="00CB72F9"/>
    <w:rsid w:val="00CC45F4"/>
    <w:rsid w:val="00CC7AF8"/>
    <w:rsid w:val="00CD0569"/>
    <w:rsid w:val="00D1427F"/>
    <w:rsid w:val="00D23240"/>
    <w:rsid w:val="00D242B8"/>
    <w:rsid w:val="00D25635"/>
    <w:rsid w:val="00D34D8E"/>
    <w:rsid w:val="00D356F4"/>
    <w:rsid w:val="00D55115"/>
    <w:rsid w:val="00D556C1"/>
    <w:rsid w:val="00D63442"/>
    <w:rsid w:val="00D70743"/>
    <w:rsid w:val="00D718E7"/>
    <w:rsid w:val="00D73560"/>
    <w:rsid w:val="00D84002"/>
    <w:rsid w:val="00DA6226"/>
    <w:rsid w:val="00DB524C"/>
    <w:rsid w:val="00DC1FA7"/>
    <w:rsid w:val="00DC4649"/>
    <w:rsid w:val="00DD733B"/>
    <w:rsid w:val="00DE038F"/>
    <w:rsid w:val="00DE18AF"/>
    <w:rsid w:val="00DE6DA9"/>
    <w:rsid w:val="00DF02B0"/>
    <w:rsid w:val="00DF04A7"/>
    <w:rsid w:val="00DF230D"/>
    <w:rsid w:val="00E007AF"/>
    <w:rsid w:val="00E07329"/>
    <w:rsid w:val="00E0763C"/>
    <w:rsid w:val="00E12CE9"/>
    <w:rsid w:val="00E20290"/>
    <w:rsid w:val="00E37A45"/>
    <w:rsid w:val="00E55C43"/>
    <w:rsid w:val="00E60E6B"/>
    <w:rsid w:val="00E6112E"/>
    <w:rsid w:val="00E72335"/>
    <w:rsid w:val="00E72E31"/>
    <w:rsid w:val="00E738DD"/>
    <w:rsid w:val="00E76A0A"/>
    <w:rsid w:val="00E81C8F"/>
    <w:rsid w:val="00E84E81"/>
    <w:rsid w:val="00E90B86"/>
    <w:rsid w:val="00E950E6"/>
    <w:rsid w:val="00EA2B1E"/>
    <w:rsid w:val="00EA561C"/>
    <w:rsid w:val="00EA6FBF"/>
    <w:rsid w:val="00EB4C80"/>
    <w:rsid w:val="00EB53D7"/>
    <w:rsid w:val="00EC00AA"/>
    <w:rsid w:val="00EC0E4D"/>
    <w:rsid w:val="00ED71EF"/>
    <w:rsid w:val="00EE21C1"/>
    <w:rsid w:val="00EE2A76"/>
    <w:rsid w:val="00EE4942"/>
    <w:rsid w:val="00EE4B4B"/>
    <w:rsid w:val="00EF18A7"/>
    <w:rsid w:val="00F01974"/>
    <w:rsid w:val="00F11A1D"/>
    <w:rsid w:val="00F15819"/>
    <w:rsid w:val="00F20B1D"/>
    <w:rsid w:val="00F31046"/>
    <w:rsid w:val="00F3732D"/>
    <w:rsid w:val="00F43501"/>
    <w:rsid w:val="00F44EC4"/>
    <w:rsid w:val="00F45111"/>
    <w:rsid w:val="00F51F6B"/>
    <w:rsid w:val="00F54453"/>
    <w:rsid w:val="00F55CB9"/>
    <w:rsid w:val="00F61DCA"/>
    <w:rsid w:val="00F73BE9"/>
    <w:rsid w:val="00F767C2"/>
    <w:rsid w:val="00F807D5"/>
    <w:rsid w:val="00F832C8"/>
    <w:rsid w:val="00F971C0"/>
    <w:rsid w:val="00FA32CE"/>
    <w:rsid w:val="00FB47DC"/>
    <w:rsid w:val="00FB57DB"/>
    <w:rsid w:val="00FB6FB4"/>
    <w:rsid w:val="00FC1E80"/>
    <w:rsid w:val="00FD05B5"/>
    <w:rsid w:val="00FD078C"/>
    <w:rsid w:val="00FD10BF"/>
    <w:rsid w:val="00FD2620"/>
    <w:rsid w:val="00FD40B3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41339"/>
    <w:pPr>
      <w:ind w:left="720"/>
      <w:jc w:val="left"/>
    </w:pPr>
    <w:rPr>
      <w:rFonts w:ascii="Calibri" w:eastAsiaTheme="minorHAnsi" w:hAnsi="Calibri" w:cs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1C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741B1F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3717C"/>
    <w:rPr>
      <w:rFonts w:ascii="Calibri" w:eastAsiaTheme="minorHAnsi" w:hAnsi="Calibri" w:cs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76A0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2"/>
    </w:rPr>
  </w:style>
  <w:style w:type="paragraph" w:styleId="Heading1">
    <w:name w:val="heading 1"/>
    <w:basedOn w:val="Normal"/>
    <w:next w:val="Normal"/>
    <w:qFormat/>
    <w:pPr>
      <w:keepNext/>
      <w:jc w:val="left"/>
      <w:outlineLvl w:val="0"/>
    </w:pPr>
    <w:rPr>
      <w:rFonts w:ascii="Times" w:hAnsi="Times"/>
      <w:i/>
      <w:sz w:val="24"/>
    </w:rPr>
  </w:style>
  <w:style w:type="paragraph" w:styleId="Heading2">
    <w:name w:val="heading 2"/>
    <w:basedOn w:val="Normal"/>
    <w:next w:val="Normal"/>
    <w:qFormat/>
    <w:pPr>
      <w:keepNext/>
      <w:jc w:val="left"/>
      <w:outlineLvl w:val="1"/>
    </w:pPr>
    <w:rPr>
      <w:b/>
      <w:sz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z w:val="24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left"/>
      <w:outlineLvl w:val="6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840" w:hanging="280"/>
    </w:pPr>
    <w:rPr>
      <w:rFonts w:ascii="Times" w:hAnsi="Times"/>
      <w:sz w:val="24"/>
    </w:rPr>
  </w:style>
  <w:style w:type="paragraph" w:styleId="BodyTextIndent2">
    <w:name w:val="Body Text Indent 2"/>
    <w:basedOn w:val="Normal"/>
    <w:pPr>
      <w:ind w:left="569" w:hanging="567"/>
      <w:jc w:val="left"/>
    </w:pPr>
    <w:rPr>
      <w:rFonts w:ascii="Times" w:hAnsi="Times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left"/>
    </w:pPr>
    <w:rPr>
      <w:sz w:val="24"/>
    </w:rPr>
  </w:style>
  <w:style w:type="paragraph" w:customStyle="1" w:styleId="ToRBullets">
    <w:name w:val="ToR Bullets"/>
    <w:basedOn w:val="Normal"/>
    <w:pPr>
      <w:numPr>
        <w:numId w:val="1"/>
      </w:numPr>
      <w:tabs>
        <w:tab w:val="clear" w:pos="360"/>
        <w:tab w:val="left" w:pos="284"/>
      </w:tabs>
      <w:ind w:left="284" w:hanging="284"/>
    </w:pPr>
    <w:rPr>
      <w:snapToGrid w:val="0"/>
      <w:lang w:eastAsia="en-US"/>
    </w:rPr>
  </w:style>
  <w:style w:type="paragraph" w:customStyle="1" w:styleId="ToRWGTitle">
    <w:name w:val="ToR WG Title"/>
    <w:basedOn w:val="Normal"/>
    <w:pPr>
      <w:tabs>
        <w:tab w:val="right" w:pos="9639"/>
      </w:tabs>
      <w:outlineLvl w:val="0"/>
    </w:pPr>
  </w:style>
  <w:style w:type="paragraph" w:customStyle="1" w:styleId="ToRChairman">
    <w:name w:val="ToR Chairman"/>
    <w:basedOn w:val="Normal"/>
    <w:pPr>
      <w:tabs>
        <w:tab w:val="left" w:pos="1418"/>
      </w:tabs>
      <w:outlineLvl w:val="0"/>
    </w:pPr>
  </w:style>
  <w:style w:type="paragraph" w:customStyle="1" w:styleId="ToRTermsofReference">
    <w:name w:val="ToR Terms of Reference"/>
    <w:basedOn w:val="Normal"/>
    <w:pPr>
      <w:jc w:val="left"/>
      <w:outlineLvl w:val="0"/>
    </w:pPr>
    <w:rPr>
      <w:u w:val="single"/>
    </w:rPr>
  </w:style>
  <w:style w:type="paragraph" w:customStyle="1" w:styleId="ToRDoubleline">
    <w:name w:val="ToR Double line"/>
    <w:basedOn w:val="Normal"/>
    <w:pPr>
      <w:pBdr>
        <w:bottom w:val="double" w:sz="4" w:space="1" w:color="auto"/>
      </w:pBdr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Subtitle">
    <w:name w:val="Subtitle"/>
    <w:basedOn w:val="Normal"/>
    <w:qFormat/>
    <w:pPr>
      <w:jc w:val="left"/>
    </w:pPr>
    <w:rPr>
      <w:b/>
      <w:i/>
      <w:sz w:val="28"/>
    </w:rPr>
  </w:style>
  <w:style w:type="paragraph" w:styleId="BodyText2">
    <w:name w:val="Body Text 2"/>
    <w:basedOn w:val="Normal"/>
    <w:pPr>
      <w:jc w:val="center"/>
    </w:pPr>
    <w:rPr>
      <w:b/>
      <w:sz w:val="40"/>
      <w:lang w:val="fr-BE"/>
    </w:rPr>
  </w:style>
  <w:style w:type="paragraph" w:styleId="BalloonText">
    <w:name w:val="Balloon Text"/>
    <w:basedOn w:val="Normal"/>
    <w:semiHidden/>
    <w:rsid w:val="00E6112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E15D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4E7305"/>
    <w:rPr>
      <w:rFonts w:ascii="Times" w:hAnsi="Times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41339"/>
    <w:pPr>
      <w:ind w:left="720"/>
      <w:jc w:val="left"/>
    </w:pPr>
    <w:rPr>
      <w:rFonts w:ascii="Calibri" w:eastAsiaTheme="minorHAnsi" w:hAnsi="Calibri" w:cs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7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71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71C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71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71C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741B1F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3717C"/>
    <w:rPr>
      <w:rFonts w:ascii="Calibri" w:eastAsiaTheme="minorHAnsi" w:hAnsi="Calibri" w:cs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76A0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03351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5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6479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98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806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726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710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778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0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8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5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6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6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1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15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4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8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5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3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EF19720-7717-4034-91EE-D9BECA912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641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ENERGY POLICY AND MARKET REGULATION</vt:lpstr>
    </vt:vector>
  </TitlesOfParts>
  <Company>Eurelectric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ENERGY POLICY AND MARKET REGULATION</dc:title>
  <dc:creator>Aura CARAMIZARU</dc:creator>
  <cp:lastModifiedBy>Fergal McNAMARA</cp:lastModifiedBy>
  <cp:revision>11</cp:revision>
  <cp:lastPrinted>2016-06-07T12:12:00Z</cp:lastPrinted>
  <dcterms:created xsi:type="dcterms:W3CDTF">2018-05-04T11:44:00Z</dcterms:created>
  <dcterms:modified xsi:type="dcterms:W3CDTF">2018-05-17T12:14:00Z</dcterms:modified>
</cp:coreProperties>
</file>